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77" w:rsidRPr="003E13DF" w:rsidRDefault="004F4B77" w:rsidP="004F4B77">
      <w:pPr>
        <w:shd w:val="clear" w:color="auto" w:fill="E4E8EC"/>
        <w:spacing w:before="105"/>
        <w:jc w:val="center"/>
        <w:outlineLvl w:val="4"/>
        <w:rPr>
          <w:rFonts w:eastAsia="Times New Roman"/>
          <w:color w:val="000000"/>
          <w:sz w:val="20"/>
          <w:szCs w:val="18"/>
          <w:lang w:val="en-US" w:eastAsia="ru-RU"/>
        </w:rPr>
      </w:pPr>
      <w:r w:rsidRPr="003E13DF">
        <w:rPr>
          <w:rFonts w:eastAsia="Times New Roman"/>
          <w:b/>
          <w:bCs/>
          <w:color w:val="000000"/>
          <w:szCs w:val="20"/>
          <w:lang w:val="en-US" w:eastAsia="ru-RU"/>
        </w:rPr>
        <w:t>AZƏRBAYCAN RESPUBLİKASININ TARİF (QİYMƏT) ŞURASI</w:t>
      </w:r>
    </w:p>
    <w:p w:rsidR="004F4B77" w:rsidRPr="003E13DF" w:rsidRDefault="004F4B77" w:rsidP="004F4B77">
      <w:pPr>
        <w:shd w:val="clear" w:color="auto" w:fill="E4E8EC"/>
        <w:spacing w:before="105"/>
        <w:jc w:val="center"/>
        <w:outlineLvl w:val="4"/>
        <w:rPr>
          <w:rFonts w:eastAsia="Times New Roman"/>
          <w:b/>
          <w:bCs/>
          <w:color w:val="000000"/>
          <w:szCs w:val="20"/>
          <w:lang w:val="en-US" w:eastAsia="ru-RU"/>
        </w:rPr>
      </w:pPr>
    </w:p>
    <w:p w:rsidR="004F4B77" w:rsidRPr="003E13DF" w:rsidRDefault="004F4B77" w:rsidP="004F4B77">
      <w:pPr>
        <w:shd w:val="clear" w:color="auto" w:fill="E4E8EC"/>
        <w:spacing w:before="105"/>
        <w:jc w:val="center"/>
        <w:outlineLvl w:val="4"/>
        <w:rPr>
          <w:rFonts w:eastAsia="Times New Roman"/>
          <w:color w:val="000000"/>
          <w:sz w:val="20"/>
          <w:szCs w:val="18"/>
          <w:lang w:eastAsia="ru-RU"/>
        </w:rPr>
      </w:pPr>
      <w:r w:rsidRPr="003E13DF">
        <w:rPr>
          <w:rFonts w:eastAsia="Times New Roman"/>
          <w:b/>
          <w:bCs/>
          <w:color w:val="000000"/>
          <w:szCs w:val="20"/>
          <w:lang w:eastAsia="ru-RU"/>
        </w:rPr>
        <w:t>QƏRAR № 1</w:t>
      </w:r>
    </w:p>
    <w:p w:rsidR="004F4B77" w:rsidRPr="003E13DF" w:rsidRDefault="004F4B77" w:rsidP="004F4B77">
      <w:pPr>
        <w:shd w:val="clear" w:color="auto" w:fill="E4E8EC"/>
        <w:spacing w:before="105"/>
        <w:jc w:val="center"/>
        <w:outlineLvl w:val="4"/>
        <w:rPr>
          <w:rFonts w:eastAsia="Times New Roman"/>
          <w:b/>
          <w:bCs/>
          <w:color w:val="000000"/>
          <w:szCs w:val="20"/>
          <w:lang w:eastAsia="ru-RU"/>
        </w:rPr>
      </w:pPr>
    </w:p>
    <w:p w:rsidR="004F4B77" w:rsidRPr="003E13DF" w:rsidRDefault="004F4B77" w:rsidP="004F4B77">
      <w:pPr>
        <w:shd w:val="clear" w:color="auto" w:fill="E4E8EC"/>
        <w:spacing w:before="105"/>
        <w:jc w:val="center"/>
        <w:outlineLvl w:val="4"/>
        <w:rPr>
          <w:rFonts w:eastAsia="Times New Roman"/>
          <w:color w:val="000000"/>
          <w:sz w:val="20"/>
          <w:szCs w:val="18"/>
          <w:lang w:eastAsia="ru-RU"/>
        </w:rPr>
      </w:pPr>
      <w:r w:rsidRPr="003E13DF">
        <w:rPr>
          <w:rFonts w:eastAsia="Times New Roman"/>
          <w:b/>
          <w:bCs/>
          <w:color w:val="000000"/>
          <w:szCs w:val="20"/>
          <w:lang w:eastAsia="ru-RU"/>
        </w:rPr>
        <w:t>Bakı şəhəri, 31 yanvar 2023-cü il</w:t>
      </w:r>
    </w:p>
    <w:p w:rsidR="004F4B77" w:rsidRPr="003E13DF" w:rsidRDefault="004F4B77" w:rsidP="004F4B77">
      <w:pPr>
        <w:shd w:val="clear" w:color="auto" w:fill="E4E8EC"/>
        <w:spacing w:before="105"/>
        <w:jc w:val="center"/>
        <w:outlineLvl w:val="4"/>
        <w:rPr>
          <w:rFonts w:eastAsia="Times New Roman"/>
          <w:b/>
          <w:bCs/>
          <w:color w:val="000000"/>
          <w:szCs w:val="20"/>
          <w:lang w:eastAsia="ru-RU"/>
        </w:rPr>
      </w:pPr>
    </w:p>
    <w:p w:rsidR="004F4B77" w:rsidRPr="003E13DF" w:rsidRDefault="004F4B77" w:rsidP="004F4B77">
      <w:pPr>
        <w:shd w:val="clear" w:color="auto" w:fill="E4E8EC"/>
        <w:spacing w:before="105"/>
        <w:jc w:val="center"/>
        <w:outlineLvl w:val="4"/>
        <w:rPr>
          <w:rFonts w:eastAsia="Times New Roman"/>
          <w:color w:val="000000"/>
          <w:sz w:val="20"/>
          <w:szCs w:val="18"/>
          <w:lang w:eastAsia="ru-RU"/>
        </w:rPr>
      </w:pPr>
      <w:r w:rsidRPr="003E13DF">
        <w:rPr>
          <w:rFonts w:eastAsia="Times New Roman"/>
          <w:b/>
          <w:bCs/>
          <w:color w:val="000000"/>
          <w:szCs w:val="20"/>
          <w:lang w:eastAsia="ru-RU"/>
        </w:rPr>
        <w:t>İctimai nəqliyyatda sərnişindaşıma xidmətləri üzrə tariflərin tənzimlənməsi barədə</w:t>
      </w:r>
    </w:p>
    <w:p w:rsidR="004F4B77" w:rsidRPr="003E13DF" w:rsidRDefault="004F4B77" w:rsidP="004F4B77">
      <w:pPr>
        <w:shd w:val="clear" w:color="auto" w:fill="E4E8EC"/>
        <w:spacing w:before="105"/>
        <w:outlineLvl w:val="4"/>
        <w:rPr>
          <w:rFonts w:eastAsia="Times New Roman"/>
          <w:color w:val="000000"/>
          <w:sz w:val="18"/>
          <w:szCs w:val="18"/>
          <w:lang w:eastAsia="ru-RU"/>
        </w:rPr>
      </w:pPr>
      <w:r w:rsidRPr="003E13DF">
        <w:rPr>
          <w:rFonts w:eastAsia="Times New Roman"/>
          <w:color w:val="000000"/>
          <w:sz w:val="20"/>
          <w:szCs w:val="20"/>
          <w:lang w:eastAsia="ru-RU"/>
        </w:rPr>
        <w:t> </w:t>
      </w:r>
    </w:p>
    <w:p w:rsidR="004F4B77" w:rsidRPr="003E13DF" w:rsidRDefault="004F4B77" w:rsidP="004F4B77">
      <w:pPr>
        <w:shd w:val="clear" w:color="auto" w:fill="E4E8EC"/>
        <w:spacing w:before="105"/>
        <w:outlineLvl w:val="4"/>
        <w:rPr>
          <w:rFonts w:eastAsia="Times New Roman"/>
          <w:color w:val="000000"/>
          <w:sz w:val="18"/>
          <w:szCs w:val="18"/>
          <w:lang w:eastAsia="ru-RU"/>
        </w:rPr>
      </w:pPr>
      <w:r w:rsidRPr="003E13DF">
        <w:rPr>
          <w:rFonts w:eastAsia="Times New Roman"/>
          <w:color w:val="000000"/>
          <w:sz w:val="20"/>
          <w:szCs w:val="20"/>
          <w:lang w:eastAsia="ru-RU"/>
        </w:rPr>
        <w:t> </w:t>
      </w:r>
    </w:p>
    <w:p w:rsidR="004F4B77" w:rsidRPr="003E13DF" w:rsidRDefault="004F4B77" w:rsidP="004F4B77">
      <w:pPr>
        <w:shd w:val="clear" w:color="auto" w:fill="E4E8EC"/>
        <w:spacing w:before="105"/>
        <w:jc w:val="both"/>
        <w:outlineLvl w:val="4"/>
        <w:rPr>
          <w:rFonts w:eastAsia="Times New Roman"/>
          <w:color w:val="000000"/>
          <w:lang w:val="az-Latn-AZ" w:eastAsia="ru-RU"/>
        </w:rPr>
      </w:pPr>
      <w:r w:rsidRPr="003E13DF">
        <w:rPr>
          <w:rFonts w:eastAsia="Times New Roman"/>
          <w:color w:val="000000"/>
          <w:lang w:eastAsia="ru-RU"/>
        </w:rPr>
        <w:t>Azərbaycan Respublikası Prezidentinin 2005-ci il 26 dekabr tarixli 341 nömrəli Fərmanı ilə təsdiq edilmiş “Azərbaycan Respublikasının Tarif (qiymət) Şurası haqqında Əsasnamə”yə, Azərbaycan Respublikası Nazirlər Kabinetinin 2005-ci il 30 dekabr tarixli 247 nömrəli Qərarı ilə təsdiq edilmiş “Dövlət tənzimlənməsi tətbiq olunan tariflərin (qiymətlərin) formalaşması və tətbiqi üzərində dövlət nəzarətinin təmin edilməsi Qaydaları”na uyğun olaraq Tarif (qiymət) Şurası </w:t>
      </w:r>
    </w:p>
    <w:p w:rsidR="004F4B77" w:rsidRPr="003E13DF" w:rsidRDefault="004F4B77" w:rsidP="004F4B77">
      <w:pPr>
        <w:shd w:val="clear" w:color="auto" w:fill="E4E8EC"/>
        <w:spacing w:before="105"/>
        <w:jc w:val="both"/>
        <w:outlineLvl w:val="4"/>
        <w:rPr>
          <w:rFonts w:eastAsia="Times New Roman"/>
          <w:color w:val="000000"/>
          <w:lang w:val="az-Latn-AZ" w:eastAsia="ru-RU"/>
        </w:rPr>
      </w:pPr>
      <w:r w:rsidRPr="003E13DF">
        <w:rPr>
          <w:rFonts w:eastAsia="Times New Roman"/>
          <w:b/>
          <w:bCs/>
          <w:color w:val="000000"/>
          <w:lang w:val="az-Latn-AZ" w:eastAsia="ru-RU"/>
        </w:rPr>
        <w:t>QƏRARA ALIR</w:t>
      </w:r>
      <w:r w:rsidRPr="003E13DF">
        <w:rPr>
          <w:rFonts w:eastAsia="Times New Roman"/>
          <w:color w:val="000000"/>
          <w:lang w:val="az-Latn-AZ" w:eastAsia="ru-RU"/>
        </w:rPr>
        <w:t>:</w:t>
      </w:r>
    </w:p>
    <w:p w:rsidR="004F4B77" w:rsidRPr="003E13DF" w:rsidRDefault="004F4B77" w:rsidP="004F4B77">
      <w:pPr>
        <w:shd w:val="clear" w:color="auto" w:fill="E4E8EC"/>
        <w:spacing w:before="105"/>
        <w:jc w:val="both"/>
        <w:outlineLvl w:val="4"/>
        <w:rPr>
          <w:rFonts w:eastAsia="Times New Roman"/>
          <w:color w:val="000000"/>
          <w:lang w:val="az-Latn-AZ" w:eastAsia="ru-RU"/>
        </w:rPr>
      </w:pPr>
    </w:p>
    <w:p w:rsidR="004F4B77" w:rsidRPr="003E13DF" w:rsidRDefault="004F4B77" w:rsidP="004F4B77">
      <w:pPr>
        <w:shd w:val="clear" w:color="auto" w:fill="E4E8EC"/>
        <w:jc w:val="both"/>
        <w:outlineLvl w:val="4"/>
        <w:rPr>
          <w:rFonts w:eastAsia="Times New Roman"/>
          <w:color w:val="000000"/>
          <w:lang w:val="az-Latn-AZ" w:eastAsia="ru-RU"/>
        </w:rPr>
      </w:pPr>
      <w:r w:rsidRPr="003E13DF">
        <w:rPr>
          <w:rFonts w:eastAsia="Times New Roman"/>
          <w:color w:val="000000"/>
          <w:lang w:val="az-Latn-AZ" w:eastAsia="ru-RU"/>
        </w:rPr>
        <w:t>1. Müntəzəm şəhərdaxili, şəhərətrafı və qəsəbələrarası avtobus marşrutlarında sərnişindaşıma xidmətlərinin tariflərinin yuxarı hədləri təsdiq edilsin.</w:t>
      </w:r>
    </w:p>
    <w:p w:rsidR="004F4B77" w:rsidRPr="003E13DF" w:rsidRDefault="004F4B77" w:rsidP="004F4B77">
      <w:pPr>
        <w:shd w:val="clear" w:color="auto" w:fill="E4E8EC"/>
        <w:jc w:val="both"/>
        <w:outlineLvl w:val="4"/>
        <w:rPr>
          <w:rFonts w:eastAsia="Times New Roman"/>
          <w:color w:val="000000"/>
          <w:lang w:val="az-Latn-AZ" w:eastAsia="ru-RU"/>
        </w:rPr>
      </w:pPr>
    </w:p>
    <w:p w:rsidR="004F4B77" w:rsidRPr="003E13DF" w:rsidRDefault="004F4B77" w:rsidP="004F4B77">
      <w:pPr>
        <w:shd w:val="clear" w:color="auto" w:fill="E4E8EC"/>
        <w:jc w:val="both"/>
        <w:outlineLvl w:val="4"/>
        <w:rPr>
          <w:rFonts w:eastAsia="Times New Roman"/>
          <w:color w:val="000000"/>
          <w:lang w:eastAsia="ru-RU"/>
        </w:rPr>
      </w:pPr>
      <w:r w:rsidRPr="003E13DF">
        <w:rPr>
          <w:rFonts w:eastAsia="Times New Roman"/>
          <w:color w:val="000000"/>
          <w:lang w:eastAsia="ru-RU"/>
        </w:rPr>
        <w:t>2. Metro nəqliyyatında sərnişindaşıma xidmətinin tarifi bir gediş üzrə 40 qəpik təsdiq edilsin.</w:t>
      </w:r>
    </w:p>
    <w:p w:rsidR="004F4B77" w:rsidRPr="003E13DF" w:rsidRDefault="004F4B77" w:rsidP="004F4B77">
      <w:pPr>
        <w:shd w:val="clear" w:color="auto" w:fill="E4E8EC"/>
        <w:jc w:val="both"/>
        <w:outlineLvl w:val="4"/>
        <w:rPr>
          <w:rFonts w:eastAsia="Times New Roman"/>
          <w:color w:val="000000"/>
          <w:lang w:eastAsia="ru-RU"/>
        </w:rPr>
      </w:pPr>
    </w:p>
    <w:p w:rsidR="004F4B77" w:rsidRPr="003E13DF" w:rsidRDefault="004F4B77" w:rsidP="004F4B77">
      <w:pPr>
        <w:shd w:val="clear" w:color="auto" w:fill="E4E8EC"/>
        <w:jc w:val="both"/>
        <w:outlineLvl w:val="4"/>
        <w:rPr>
          <w:rFonts w:eastAsia="Times New Roman"/>
          <w:color w:val="000000"/>
          <w:lang w:eastAsia="ru-RU"/>
        </w:rPr>
      </w:pPr>
      <w:r w:rsidRPr="003E13DF">
        <w:rPr>
          <w:rFonts w:eastAsia="Times New Roman"/>
          <w:color w:val="000000"/>
          <w:lang w:eastAsia="ru-RU"/>
        </w:rPr>
        <w:t>3. Bakı-Sumqayıt (Sumqayıt-Bakı) avtobus marşrutlarında sərnişindaşıma xidmətinin tarifi bir gediş üzrə 60 qəpik təsdiq edilsin.</w:t>
      </w:r>
    </w:p>
    <w:p w:rsidR="004F4B77" w:rsidRPr="003E13DF" w:rsidRDefault="004F4B77" w:rsidP="004F4B77">
      <w:pPr>
        <w:shd w:val="clear" w:color="auto" w:fill="E4E8EC"/>
        <w:jc w:val="both"/>
        <w:outlineLvl w:val="4"/>
        <w:rPr>
          <w:rFonts w:eastAsia="Times New Roman"/>
          <w:color w:val="000000"/>
          <w:lang w:eastAsia="ru-RU"/>
        </w:rPr>
      </w:pPr>
    </w:p>
    <w:p w:rsidR="004F4B77" w:rsidRPr="003E13DF" w:rsidRDefault="004F4B77" w:rsidP="004F4B77">
      <w:pPr>
        <w:shd w:val="clear" w:color="auto" w:fill="E4E8EC"/>
        <w:jc w:val="both"/>
        <w:outlineLvl w:val="4"/>
        <w:rPr>
          <w:rFonts w:eastAsia="Times New Roman"/>
          <w:color w:val="000000"/>
          <w:lang w:eastAsia="ru-RU"/>
        </w:rPr>
      </w:pPr>
      <w:r w:rsidRPr="003E13DF">
        <w:rPr>
          <w:rFonts w:eastAsia="Times New Roman"/>
          <w:color w:val="000000"/>
          <w:lang w:eastAsia="ru-RU"/>
        </w:rPr>
        <w:t>4. Bakı-Sumqayıt avtobus marşrutunda sərnişindaşıma xidməti üzrə tarif Bakı şəhərindən Sumqayıt şəhərinə qədər olan məsafəni əhatə edir və Sumqayıt şəhərinin daxili marşrutları üzrə hərəkət davam etdikdə, həmin tarifə müntəzəm şəhərdaxili avtobus marşrutları üçün təsdiq olunan tarif əlavə edilsin. </w:t>
      </w:r>
    </w:p>
    <w:p w:rsidR="004F4B77" w:rsidRPr="003E13DF" w:rsidRDefault="004F4B77" w:rsidP="004F4B77">
      <w:pPr>
        <w:shd w:val="clear" w:color="auto" w:fill="E4E8EC"/>
        <w:jc w:val="both"/>
        <w:outlineLvl w:val="4"/>
        <w:rPr>
          <w:rFonts w:eastAsia="Times New Roman"/>
          <w:color w:val="000000"/>
          <w:lang w:eastAsia="ru-RU"/>
        </w:rPr>
      </w:pPr>
    </w:p>
    <w:p w:rsidR="004F4B77" w:rsidRPr="003E13DF" w:rsidRDefault="004F4B77" w:rsidP="004F4B77">
      <w:pPr>
        <w:shd w:val="clear" w:color="auto" w:fill="E4E8EC"/>
        <w:jc w:val="both"/>
        <w:outlineLvl w:val="4"/>
        <w:rPr>
          <w:rFonts w:eastAsia="Times New Roman"/>
          <w:color w:val="000000"/>
          <w:lang w:eastAsia="ru-RU"/>
        </w:rPr>
      </w:pPr>
      <w:r w:rsidRPr="003E13DF">
        <w:rPr>
          <w:rFonts w:eastAsia="Times New Roman"/>
          <w:color w:val="000000"/>
          <w:lang w:eastAsia="ru-RU"/>
        </w:rPr>
        <w:t>5. Müntəzəm şəhərlərarası avtobus marşrutlarında sərnişindaşıma xidməti üzrə tarifin yuxarı həddi bir kilometr üçün 3,0 qəpik təsdiq edilsin.</w:t>
      </w:r>
    </w:p>
    <w:p w:rsidR="004F4B77" w:rsidRPr="003E13DF" w:rsidRDefault="004F4B77" w:rsidP="004F4B77">
      <w:pPr>
        <w:shd w:val="clear" w:color="auto" w:fill="E4E8EC"/>
        <w:jc w:val="both"/>
        <w:outlineLvl w:val="4"/>
        <w:rPr>
          <w:rFonts w:eastAsia="Times New Roman"/>
          <w:color w:val="000000"/>
          <w:lang w:eastAsia="ru-RU"/>
        </w:rPr>
      </w:pPr>
    </w:p>
    <w:p w:rsidR="004F4B77" w:rsidRPr="003E13DF" w:rsidRDefault="004F4B77" w:rsidP="004F4B77">
      <w:pPr>
        <w:shd w:val="clear" w:color="auto" w:fill="E4E8EC"/>
        <w:jc w:val="both"/>
        <w:outlineLvl w:val="4"/>
        <w:rPr>
          <w:rFonts w:eastAsia="Times New Roman"/>
          <w:color w:val="000000"/>
          <w:lang w:eastAsia="ru-RU"/>
        </w:rPr>
      </w:pPr>
      <w:r w:rsidRPr="003E13DF">
        <w:rPr>
          <w:rFonts w:eastAsia="Times New Roman"/>
          <w:color w:val="000000"/>
          <w:lang w:eastAsia="ru-RU"/>
        </w:rPr>
        <w:t>6. Azərbaycan Respublikası Tarif (qiymət) Şurasının ”İctimai nəqliyyatda sərnişindaşıma xidmətləri üzrə tariflərin tənzimlənməsi barədə” 2018-ci il 30 iyul tarixli 7 nömrəli Qərarı ləğv edilsin.</w:t>
      </w:r>
    </w:p>
    <w:p w:rsidR="004F4B77" w:rsidRPr="003E13DF" w:rsidRDefault="004F4B77" w:rsidP="004F4B77">
      <w:pPr>
        <w:shd w:val="clear" w:color="auto" w:fill="E4E8EC"/>
        <w:jc w:val="both"/>
        <w:outlineLvl w:val="4"/>
        <w:rPr>
          <w:rFonts w:eastAsia="Times New Roman"/>
          <w:color w:val="000000"/>
          <w:lang w:eastAsia="ru-RU"/>
        </w:rPr>
      </w:pPr>
    </w:p>
    <w:p w:rsidR="004F4B77" w:rsidRPr="003E13DF" w:rsidRDefault="004F4B77" w:rsidP="004F4B77">
      <w:pPr>
        <w:shd w:val="clear" w:color="auto" w:fill="E4E8EC"/>
        <w:jc w:val="both"/>
        <w:outlineLvl w:val="4"/>
        <w:rPr>
          <w:rFonts w:eastAsia="Times New Roman"/>
          <w:color w:val="000000"/>
          <w:lang w:eastAsia="ru-RU"/>
        </w:rPr>
      </w:pPr>
      <w:r w:rsidRPr="003E13DF">
        <w:rPr>
          <w:rFonts w:eastAsia="Times New Roman"/>
          <w:color w:val="000000"/>
          <w:lang w:eastAsia="ru-RU"/>
        </w:rPr>
        <w:t>7. Bu Qərar 2023-cü il 3 fevral tarixindən qüvvəyə minir.</w:t>
      </w:r>
    </w:p>
    <w:p w:rsidR="004F4B77" w:rsidRPr="003E13DF" w:rsidRDefault="004F4B77" w:rsidP="004F4B77">
      <w:pPr>
        <w:shd w:val="clear" w:color="auto" w:fill="E4E8EC"/>
        <w:outlineLvl w:val="4"/>
        <w:rPr>
          <w:rFonts w:eastAsia="Times New Roman"/>
          <w:color w:val="000000"/>
          <w:lang w:eastAsia="ru-RU"/>
        </w:rPr>
      </w:pPr>
    </w:p>
    <w:p w:rsidR="004F4B77" w:rsidRPr="003E13DF" w:rsidRDefault="004F4B77" w:rsidP="004F4B77">
      <w:pPr>
        <w:shd w:val="clear" w:color="auto" w:fill="E4E8EC"/>
        <w:outlineLvl w:val="4"/>
        <w:rPr>
          <w:rFonts w:eastAsia="Times New Roman"/>
          <w:color w:val="000000"/>
          <w:sz w:val="18"/>
          <w:szCs w:val="18"/>
          <w:lang w:eastAsia="ru-RU"/>
        </w:rPr>
      </w:pPr>
    </w:p>
    <w:p w:rsidR="004F4B77" w:rsidRPr="003E13DF" w:rsidRDefault="004F4B77" w:rsidP="004F4B77">
      <w:pPr>
        <w:shd w:val="clear" w:color="auto" w:fill="E4E8EC"/>
        <w:outlineLvl w:val="4"/>
        <w:rPr>
          <w:rFonts w:eastAsia="Times New Roman"/>
          <w:color w:val="000000"/>
          <w:sz w:val="18"/>
          <w:szCs w:val="18"/>
          <w:lang w:eastAsia="ru-RU"/>
        </w:rPr>
      </w:pPr>
      <w:r w:rsidRPr="003E13DF">
        <w:rPr>
          <w:rFonts w:eastAsia="Times New Roman"/>
          <w:b/>
          <w:bCs/>
          <w:color w:val="000000"/>
          <w:sz w:val="20"/>
          <w:szCs w:val="20"/>
          <w:lang w:eastAsia="ru-RU"/>
        </w:rPr>
        <w:t>Azərbaycan Respublikası</w:t>
      </w:r>
    </w:p>
    <w:p w:rsidR="004F4B77" w:rsidRPr="003E13DF" w:rsidRDefault="004F4B77" w:rsidP="004F4B77">
      <w:pPr>
        <w:shd w:val="clear" w:color="auto" w:fill="E4E8EC"/>
        <w:outlineLvl w:val="4"/>
        <w:rPr>
          <w:rFonts w:eastAsia="Times New Roman"/>
          <w:color w:val="000000"/>
          <w:sz w:val="18"/>
          <w:szCs w:val="18"/>
          <w:lang w:eastAsia="ru-RU"/>
        </w:rPr>
      </w:pPr>
    </w:p>
    <w:p w:rsidR="004F4B77" w:rsidRPr="003E13DF" w:rsidRDefault="004F4B77" w:rsidP="004F4B77">
      <w:pPr>
        <w:shd w:val="clear" w:color="auto" w:fill="E4E8EC"/>
        <w:outlineLvl w:val="4"/>
        <w:rPr>
          <w:rFonts w:eastAsia="Times New Roman"/>
          <w:color w:val="000000"/>
          <w:sz w:val="18"/>
          <w:szCs w:val="18"/>
          <w:lang w:eastAsia="ru-RU"/>
        </w:rPr>
      </w:pPr>
      <w:r w:rsidRPr="003E13DF">
        <w:rPr>
          <w:rFonts w:eastAsia="Times New Roman"/>
          <w:b/>
          <w:bCs/>
          <w:color w:val="000000"/>
          <w:sz w:val="20"/>
          <w:szCs w:val="20"/>
          <w:lang w:eastAsia="ru-RU"/>
        </w:rPr>
        <w:t>Tarif (qiymət) Şurasının sədri                       Mikayıl Cabbarov</w:t>
      </w: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pPr>
        <w:spacing w:before="74"/>
        <w:ind w:left="6742" w:right="719" w:hanging="4"/>
        <w:jc w:val="center"/>
        <w:rPr>
          <w:i/>
          <w:sz w:val="20"/>
        </w:rPr>
      </w:pPr>
    </w:p>
    <w:p w:rsidR="004F4B77" w:rsidRDefault="004F4B77" w:rsidP="004F4B77">
      <w:pPr>
        <w:spacing w:before="74"/>
        <w:ind w:right="719"/>
        <w:rPr>
          <w:i/>
          <w:sz w:val="20"/>
        </w:rPr>
      </w:pPr>
    </w:p>
    <w:p w:rsidR="004F4B77" w:rsidRDefault="004F4B77" w:rsidP="004F4B77">
      <w:pPr>
        <w:spacing w:before="74"/>
        <w:ind w:right="719"/>
        <w:rPr>
          <w:i/>
          <w:sz w:val="20"/>
        </w:rPr>
      </w:pPr>
      <w:bookmarkStart w:id="0" w:name="_GoBack"/>
      <w:bookmarkEnd w:id="0"/>
    </w:p>
    <w:p w:rsidR="004F4B77" w:rsidRDefault="004F4B77">
      <w:pPr>
        <w:spacing w:before="74"/>
        <w:ind w:left="6742" w:right="719" w:hanging="4"/>
        <w:jc w:val="center"/>
        <w:rPr>
          <w:i/>
          <w:sz w:val="20"/>
        </w:rPr>
      </w:pPr>
    </w:p>
    <w:p w:rsidR="006A776A" w:rsidRDefault="004F4B77">
      <w:pPr>
        <w:spacing w:before="74"/>
        <w:ind w:left="6742" w:right="719" w:hanging="4"/>
        <w:jc w:val="center"/>
        <w:rPr>
          <w:i/>
          <w:sz w:val="20"/>
        </w:rPr>
      </w:pPr>
      <w:r>
        <w:rPr>
          <w:i/>
          <w:sz w:val="20"/>
        </w:rPr>
        <w:lastRenderedPageBreak/>
        <w:t>Az</w:t>
      </w:r>
      <w:r>
        <w:rPr>
          <w:i/>
          <w:sz w:val="20"/>
        </w:rPr>
        <w:t>ə</w:t>
      </w:r>
      <w:r>
        <w:rPr>
          <w:i/>
          <w:sz w:val="20"/>
        </w:rPr>
        <w:t>rbaycan Respublikası Tarif (qiym</w:t>
      </w:r>
      <w:r>
        <w:rPr>
          <w:i/>
          <w:sz w:val="20"/>
        </w:rPr>
        <w:t>ə</w:t>
      </w:r>
      <w:r>
        <w:rPr>
          <w:i/>
          <w:sz w:val="20"/>
        </w:rPr>
        <w:t>t) Şurasının 2023-cü il 31 yanvar tarixli 1 nömr</w:t>
      </w:r>
      <w:r>
        <w:rPr>
          <w:i/>
          <w:sz w:val="20"/>
        </w:rPr>
        <w:t>ə</w:t>
      </w:r>
      <w:r>
        <w:rPr>
          <w:i/>
          <w:sz w:val="20"/>
        </w:rPr>
        <w:t>li Q</w:t>
      </w:r>
      <w:r>
        <w:rPr>
          <w:i/>
          <w:sz w:val="20"/>
        </w:rPr>
        <w:t>ə</w:t>
      </w:r>
      <w:r>
        <w:rPr>
          <w:i/>
          <w:sz w:val="20"/>
        </w:rPr>
        <w:t>rarı il</w:t>
      </w:r>
      <w:r>
        <w:rPr>
          <w:i/>
          <w:sz w:val="20"/>
        </w:rPr>
        <w:t>ə</w:t>
      </w:r>
    </w:p>
    <w:p w:rsidR="006A776A" w:rsidRDefault="004F4B77">
      <w:pPr>
        <w:spacing w:before="2"/>
        <w:ind w:left="7139" w:right="1121"/>
        <w:jc w:val="center"/>
        <w:rPr>
          <w:i/>
          <w:sz w:val="20"/>
        </w:rPr>
      </w:pPr>
      <w:r>
        <w:rPr>
          <w:i/>
          <w:sz w:val="20"/>
        </w:rPr>
        <w:t>t</w:t>
      </w:r>
      <w:r>
        <w:rPr>
          <w:i/>
          <w:sz w:val="20"/>
        </w:rPr>
        <w:t>ə</w:t>
      </w:r>
      <w:r>
        <w:rPr>
          <w:i/>
          <w:sz w:val="20"/>
        </w:rPr>
        <w:t>sdiq edilmişdir.</w:t>
      </w:r>
    </w:p>
    <w:p w:rsidR="006A776A" w:rsidRDefault="006A776A">
      <w:pPr>
        <w:pStyle w:val="a3"/>
        <w:rPr>
          <w:i/>
          <w:sz w:val="22"/>
        </w:rPr>
      </w:pPr>
    </w:p>
    <w:p w:rsidR="006A776A" w:rsidRDefault="006A776A">
      <w:pPr>
        <w:pStyle w:val="a3"/>
        <w:rPr>
          <w:i/>
          <w:sz w:val="22"/>
        </w:rPr>
      </w:pPr>
    </w:p>
    <w:p w:rsidR="006A776A" w:rsidRDefault="006A776A">
      <w:pPr>
        <w:pStyle w:val="a3"/>
        <w:rPr>
          <w:i/>
          <w:sz w:val="22"/>
        </w:rPr>
      </w:pPr>
    </w:p>
    <w:p w:rsidR="006A776A" w:rsidRDefault="006A776A">
      <w:pPr>
        <w:pStyle w:val="a3"/>
        <w:rPr>
          <w:i/>
          <w:sz w:val="22"/>
        </w:rPr>
      </w:pPr>
    </w:p>
    <w:p w:rsidR="006A776A" w:rsidRDefault="006A776A">
      <w:pPr>
        <w:pStyle w:val="a3"/>
        <w:spacing w:before="3"/>
        <w:rPr>
          <w:i/>
        </w:rPr>
      </w:pPr>
    </w:p>
    <w:p w:rsidR="006A776A" w:rsidRDefault="004F4B77">
      <w:pPr>
        <w:pStyle w:val="a4"/>
        <w:spacing w:line="360" w:lineRule="auto"/>
      </w:pPr>
      <w:r>
        <w:t>Ölk</w:t>
      </w:r>
      <w:r>
        <w:t>ə</w:t>
      </w:r>
      <w:r>
        <w:t xml:space="preserve"> üzr</w:t>
      </w:r>
      <w:r>
        <w:t>ə</w:t>
      </w:r>
      <w:r>
        <w:t xml:space="preserve"> münt</w:t>
      </w:r>
      <w:r>
        <w:t>ə</w:t>
      </w:r>
      <w:r>
        <w:t>z</w:t>
      </w:r>
      <w:r>
        <w:t>ə</w:t>
      </w:r>
      <w:r>
        <w:t>m ş</w:t>
      </w:r>
      <w:r>
        <w:t>ə</w:t>
      </w:r>
      <w:r>
        <w:t>h</w:t>
      </w:r>
      <w:r>
        <w:t>ə</w:t>
      </w:r>
      <w:r>
        <w:t>rdaxili, ş</w:t>
      </w:r>
      <w:r>
        <w:t>ə</w:t>
      </w:r>
      <w:r>
        <w:t>h</w:t>
      </w:r>
      <w:r>
        <w:t>ə</w:t>
      </w:r>
      <w:r>
        <w:t>r</w:t>
      </w:r>
      <w:r>
        <w:t>ə</w:t>
      </w:r>
      <w:r>
        <w:t>trafı v</w:t>
      </w:r>
      <w:r>
        <w:t>ə</w:t>
      </w:r>
      <w:r>
        <w:t xml:space="preserve"> q</w:t>
      </w:r>
      <w:r>
        <w:t>ə</w:t>
      </w:r>
      <w:r>
        <w:t>s</w:t>
      </w:r>
      <w:r>
        <w:t>ə</w:t>
      </w:r>
      <w:r>
        <w:t>b</w:t>
      </w:r>
      <w:r>
        <w:t>ə</w:t>
      </w:r>
      <w:r>
        <w:t>l</w:t>
      </w:r>
      <w:r>
        <w:t>ə</w:t>
      </w:r>
      <w:r>
        <w:t>rarası avtobus marşrutlarında s</w:t>
      </w:r>
      <w:r>
        <w:t>ə</w:t>
      </w:r>
      <w:r>
        <w:t>rnişindaşıma xidm</w:t>
      </w:r>
      <w:r>
        <w:t>ə</w:t>
      </w:r>
      <w:r>
        <w:t>tl</w:t>
      </w:r>
      <w:r>
        <w:t>ə</w:t>
      </w:r>
      <w:r>
        <w:t>rinin tarifl</w:t>
      </w:r>
      <w:r>
        <w:t>ə</w:t>
      </w:r>
      <w:r>
        <w:t>rinin yuxarı h</w:t>
      </w:r>
      <w:r>
        <w:t>ə</w:t>
      </w:r>
      <w:r>
        <w:t>dl</w:t>
      </w:r>
      <w:r>
        <w:t>ə</w:t>
      </w:r>
      <w:r>
        <w:t>ri</w:t>
      </w:r>
    </w:p>
    <w:p w:rsidR="006A776A" w:rsidRDefault="006A776A">
      <w:pPr>
        <w:pStyle w:val="a3"/>
        <w:rPr>
          <w:b/>
        </w:rPr>
      </w:pPr>
    </w:p>
    <w:p w:rsidR="006A776A" w:rsidRDefault="006A776A">
      <w:pPr>
        <w:pStyle w:val="a3"/>
        <w:spacing w:before="11"/>
        <w:rPr>
          <w:b/>
          <w:sz w:val="1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3150"/>
        <w:gridCol w:w="4504"/>
        <w:gridCol w:w="1172"/>
      </w:tblGrid>
      <w:tr w:rsidR="006A776A">
        <w:trPr>
          <w:trHeight w:val="580"/>
        </w:trPr>
        <w:tc>
          <w:tcPr>
            <w:tcW w:w="721" w:type="dxa"/>
          </w:tcPr>
          <w:p w:rsidR="006A776A" w:rsidRDefault="004F4B77">
            <w:pPr>
              <w:pStyle w:val="TableParagraph"/>
              <w:spacing w:before="172"/>
              <w:ind w:left="1"/>
              <w:rPr>
                <w:b/>
                <w:sz w:val="20"/>
              </w:rPr>
            </w:pPr>
            <w:r>
              <w:rPr>
                <w:b/>
                <w:w w:val="95"/>
                <w:sz w:val="20"/>
              </w:rPr>
              <w:t>№</w:t>
            </w:r>
          </w:p>
        </w:tc>
        <w:tc>
          <w:tcPr>
            <w:tcW w:w="3150" w:type="dxa"/>
          </w:tcPr>
          <w:p w:rsidR="006A776A" w:rsidRDefault="004F4B77">
            <w:pPr>
              <w:pStyle w:val="TableParagraph"/>
              <w:spacing w:before="172"/>
              <w:ind w:left="1053" w:right="1050"/>
              <w:rPr>
                <w:b/>
                <w:sz w:val="20"/>
              </w:rPr>
            </w:pPr>
            <w:r>
              <w:rPr>
                <w:b/>
                <w:sz w:val="20"/>
              </w:rPr>
              <w:t>Marşrut</w:t>
            </w:r>
          </w:p>
        </w:tc>
        <w:tc>
          <w:tcPr>
            <w:tcW w:w="4504" w:type="dxa"/>
          </w:tcPr>
          <w:p w:rsidR="006A776A" w:rsidRDefault="004F4B77">
            <w:pPr>
              <w:pStyle w:val="TableParagraph"/>
              <w:spacing w:before="57"/>
              <w:ind w:left="983" w:right="978"/>
              <w:rPr>
                <w:b/>
                <w:sz w:val="20"/>
              </w:rPr>
            </w:pPr>
            <w:r>
              <w:rPr>
                <w:b/>
                <w:sz w:val="20"/>
              </w:rPr>
              <w:t>M</w:t>
            </w:r>
            <w:r>
              <w:rPr>
                <w:b/>
                <w:sz w:val="20"/>
              </w:rPr>
              <w:t>ə</w:t>
            </w:r>
            <w:r>
              <w:rPr>
                <w:b/>
                <w:sz w:val="20"/>
              </w:rPr>
              <w:t>saf</w:t>
            </w:r>
            <w:r>
              <w:rPr>
                <w:b/>
                <w:sz w:val="20"/>
              </w:rPr>
              <w:t>ə</w:t>
            </w:r>
          </w:p>
          <w:p w:rsidR="006A776A" w:rsidRDefault="004F4B77">
            <w:pPr>
              <w:pStyle w:val="TableParagraph"/>
              <w:spacing w:before="5"/>
              <w:ind w:left="983" w:right="980"/>
              <w:rPr>
                <w:sz w:val="20"/>
              </w:rPr>
            </w:pPr>
            <w:r>
              <w:rPr>
                <w:sz w:val="20"/>
              </w:rPr>
              <w:t>(dövrün uzunluğunun yarısı)</w:t>
            </w:r>
          </w:p>
        </w:tc>
        <w:tc>
          <w:tcPr>
            <w:tcW w:w="1172" w:type="dxa"/>
          </w:tcPr>
          <w:p w:rsidR="006A776A" w:rsidRDefault="004F4B77">
            <w:pPr>
              <w:pStyle w:val="TableParagraph"/>
              <w:spacing w:before="57"/>
              <w:ind w:left="222" w:right="210"/>
              <w:rPr>
                <w:b/>
                <w:sz w:val="20"/>
              </w:rPr>
            </w:pPr>
            <w:r>
              <w:rPr>
                <w:b/>
                <w:sz w:val="20"/>
              </w:rPr>
              <w:t>Tarif</w:t>
            </w:r>
          </w:p>
          <w:p w:rsidR="006A776A" w:rsidRDefault="004F4B77">
            <w:pPr>
              <w:pStyle w:val="TableParagraph"/>
              <w:spacing w:before="5"/>
              <w:ind w:left="222" w:right="210"/>
              <w:rPr>
                <w:sz w:val="20"/>
              </w:rPr>
            </w:pPr>
            <w:r>
              <w:rPr>
                <w:sz w:val="20"/>
              </w:rPr>
              <w:t>(manat)</w:t>
            </w:r>
          </w:p>
        </w:tc>
      </w:tr>
      <w:tr w:rsidR="006A776A">
        <w:trPr>
          <w:trHeight w:val="359"/>
        </w:trPr>
        <w:tc>
          <w:tcPr>
            <w:tcW w:w="721" w:type="dxa"/>
          </w:tcPr>
          <w:p w:rsidR="006A776A" w:rsidRDefault="004F4B77">
            <w:pPr>
              <w:pStyle w:val="TableParagraph"/>
              <w:ind w:left="7"/>
              <w:rPr>
                <w:b/>
                <w:sz w:val="20"/>
              </w:rPr>
            </w:pPr>
            <w:r>
              <w:rPr>
                <w:b/>
                <w:sz w:val="20"/>
              </w:rPr>
              <w:t>I</w:t>
            </w:r>
          </w:p>
        </w:tc>
        <w:tc>
          <w:tcPr>
            <w:tcW w:w="3150" w:type="dxa"/>
          </w:tcPr>
          <w:p w:rsidR="006A776A" w:rsidRDefault="004F4B77">
            <w:pPr>
              <w:pStyle w:val="TableParagraph"/>
              <w:ind w:left="1058" w:right="1050"/>
              <w:rPr>
                <w:b/>
                <w:sz w:val="20"/>
              </w:rPr>
            </w:pPr>
            <w:r>
              <w:rPr>
                <w:b/>
                <w:sz w:val="20"/>
              </w:rPr>
              <w:t>II</w:t>
            </w:r>
          </w:p>
        </w:tc>
        <w:tc>
          <w:tcPr>
            <w:tcW w:w="4504" w:type="dxa"/>
          </w:tcPr>
          <w:p w:rsidR="006A776A" w:rsidRDefault="004F4B77">
            <w:pPr>
              <w:pStyle w:val="TableParagraph"/>
              <w:ind w:left="983" w:right="975"/>
              <w:rPr>
                <w:b/>
                <w:sz w:val="20"/>
              </w:rPr>
            </w:pPr>
            <w:r>
              <w:rPr>
                <w:b/>
                <w:sz w:val="20"/>
              </w:rPr>
              <w:t>III</w:t>
            </w:r>
          </w:p>
        </w:tc>
        <w:tc>
          <w:tcPr>
            <w:tcW w:w="1172" w:type="dxa"/>
          </w:tcPr>
          <w:p w:rsidR="006A776A" w:rsidRDefault="004F4B77">
            <w:pPr>
              <w:pStyle w:val="TableParagraph"/>
              <w:ind w:left="220" w:right="210"/>
              <w:rPr>
                <w:b/>
                <w:sz w:val="20"/>
              </w:rPr>
            </w:pPr>
            <w:r>
              <w:rPr>
                <w:b/>
                <w:sz w:val="20"/>
              </w:rPr>
              <w:t>IV</w:t>
            </w:r>
          </w:p>
        </w:tc>
      </w:tr>
      <w:tr w:rsidR="006A776A">
        <w:trPr>
          <w:trHeight w:val="360"/>
        </w:trPr>
        <w:tc>
          <w:tcPr>
            <w:tcW w:w="721" w:type="dxa"/>
          </w:tcPr>
          <w:p w:rsidR="006A776A" w:rsidRDefault="004F4B77">
            <w:pPr>
              <w:pStyle w:val="TableParagraph"/>
              <w:ind w:left="253" w:right="250"/>
              <w:rPr>
                <w:b/>
                <w:sz w:val="20"/>
              </w:rPr>
            </w:pPr>
            <w:r>
              <w:rPr>
                <w:b/>
                <w:sz w:val="20"/>
              </w:rPr>
              <w:t>1.</w:t>
            </w:r>
          </w:p>
        </w:tc>
        <w:tc>
          <w:tcPr>
            <w:tcW w:w="3150" w:type="dxa"/>
          </w:tcPr>
          <w:p w:rsidR="006A776A" w:rsidRDefault="004F4B77">
            <w:pPr>
              <w:pStyle w:val="TableParagraph"/>
              <w:spacing w:before="67"/>
              <w:ind w:left="1059" w:right="1050"/>
              <w:rPr>
                <w:sz w:val="20"/>
              </w:rPr>
            </w:pPr>
            <w:r>
              <w:rPr>
                <w:sz w:val="20"/>
              </w:rPr>
              <w:t>Ş</w:t>
            </w:r>
            <w:r>
              <w:rPr>
                <w:sz w:val="20"/>
              </w:rPr>
              <w:t>ə</w:t>
            </w:r>
            <w:r>
              <w:rPr>
                <w:sz w:val="20"/>
              </w:rPr>
              <w:t>h</w:t>
            </w:r>
            <w:r>
              <w:rPr>
                <w:sz w:val="20"/>
              </w:rPr>
              <w:t>ə</w:t>
            </w:r>
            <w:r>
              <w:rPr>
                <w:sz w:val="20"/>
              </w:rPr>
              <w:t>rdaxili</w:t>
            </w:r>
          </w:p>
        </w:tc>
        <w:tc>
          <w:tcPr>
            <w:tcW w:w="4504" w:type="dxa"/>
          </w:tcPr>
          <w:p w:rsidR="006A776A" w:rsidRDefault="004F4B77">
            <w:pPr>
              <w:pStyle w:val="TableParagraph"/>
              <w:spacing w:before="67"/>
              <w:jc w:val="left"/>
              <w:rPr>
                <w:sz w:val="20"/>
              </w:rPr>
            </w:pPr>
            <w:r>
              <w:rPr>
                <w:sz w:val="20"/>
              </w:rPr>
              <w:t>m</w:t>
            </w:r>
            <w:r>
              <w:rPr>
                <w:sz w:val="20"/>
              </w:rPr>
              <w:t>ə</w:t>
            </w:r>
            <w:r>
              <w:rPr>
                <w:sz w:val="20"/>
              </w:rPr>
              <w:t>saf</w:t>
            </w:r>
            <w:r>
              <w:rPr>
                <w:sz w:val="20"/>
              </w:rPr>
              <w:t>ə</w:t>
            </w:r>
            <w:r>
              <w:rPr>
                <w:sz w:val="20"/>
              </w:rPr>
              <w:t>d</w:t>
            </w:r>
            <w:r>
              <w:rPr>
                <w:sz w:val="20"/>
              </w:rPr>
              <w:t>ə</w:t>
            </w:r>
            <w:r>
              <w:rPr>
                <w:sz w:val="20"/>
              </w:rPr>
              <w:t>n asılı olmayaraq</w:t>
            </w:r>
          </w:p>
        </w:tc>
        <w:tc>
          <w:tcPr>
            <w:tcW w:w="1172" w:type="dxa"/>
          </w:tcPr>
          <w:p w:rsidR="006A776A" w:rsidRDefault="004F4B77">
            <w:pPr>
              <w:pStyle w:val="TableParagraph"/>
              <w:spacing w:before="67"/>
              <w:ind w:left="215" w:right="210"/>
              <w:rPr>
                <w:sz w:val="20"/>
              </w:rPr>
            </w:pPr>
            <w:r>
              <w:rPr>
                <w:sz w:val="20"/>
              </w:rPr>
              <w:t>0,40</w:t>
            </w:r>
          </w:p>
        </w:tc>
      </w:tr>
      <w:tr w:rsidR="006A776A">
        <w:trPr>
          <w:trHeight w:val="350"/>
        </w:trPr>
        <w:tc>
          <w:tcPr>
            <w:tcW w:w="721" w:type="dxa"/>
            <w:vMerge w:val="restart"/>
          </w:tcPr>
          <w:p w:rsidR="006A776A" w:rsidRDefault="006A776A">
            <w:pPr>
              <w:pStyle w:val="TableParagraph"/>
              <w:spacing w:before="0"/>
              <w:ind w:left="0"/>
              <w:jc w:val="left"/>
              <w:rPr>
                <w:b/>
              </w:rPr>
            </w:pPr>
          </w:p>
          <w:p w:rsidR="006A776A" w:rsidRDefault="006A776A">
            <w:pPr>
              <w:pStyle w:val="TableParagraph"/>
              <w:spacing w:before="0"/>
              <w:ind w:left="0"/>
              <w:jc w:val="left"/>
              <w:rPr>
                <w:b/>
              </w:rPr>
            </w:pPr>
          </w:p>
          <w:p w:rsidR="006A776A" w:rsidRDefault="006A776A">
            <w:pPr>
              <w:pStyle w:val="TableParagraph"/>
              <w:spacing w:before="0"/>
              <w:ind w:left="0"/>
              <w:jc w:val="left"/>
              <w:rPr>
                <w:b/>
              </w:rPr>
            </w:pPr>
          </w:p>
          <w:p w:rsidR="006A776A" w:rsidRDefault="004F4B77">
            <w:pPr>
              <w:pStyle w:val="TableParagraph"/>
              <w:spacing w:before="195"/>
              <w:ind w:left="253" w:right="250"/>
              <w:rPr>
                <w:b/>
                <w:sz w:val="20"/>
              </w:rPr>
            </w:pPr>
            <w:r>
              <w:rPr>
                <w:b/>
                <w:sz w:val="20"/>
              </w:rPr>
              <w:t>2.</w:t>
            </w:r>
          </w:p>
        </w:tc>
        <w:tc>
          <w:tcPr>
            <w:tcW w:w="3150" w:type="dxa"/>
            <w:vMerge w:val="restart"/>
          </w:tcPr>
          <w:p w:rsidR="006A776A" w:rsidRDefault="006A776A">
            <w:pPr>
              <w:pStyle w:val="TableParagraph"/>
              <w:spacing w:before="0"/>
              <w:ind w:left="0"/>
              <w:jc w:val="left"/>
              <w:rPr>
                <w:b/>
              </w:rPr>
            </w:pPr>
          </w:p>
          <w:p w:rsidR="006A776A" w:rsidRDefault="006A776A">
            <w:pPr>
              <w:pStyle w:val="TableParagraph"/>
              <w:spacing w:before="0"/>
              <w:ind w:left="0"/>
              <w:jc w:val="left"/>
              <w:rPr>
                <w:b/>
              </w:rPr>
            </w:pPr>
          </w:p>
          <w:p w:rsidR="006A776A" w:rsidRDefault="006A776A">
            <w:pPr>
              <w:pStyle w:val="TableParagraph"/>
              <w:spacing w:before="4"/>
              <w:ind w:left="0"/>
              <w:jc w:val="left"/>
              <w:rPr>
                <w:b/>
                <w:sz w:val="29"/>
              </w:rPr>
            </w:pPr>
          </w:p>
          <w:p w:rsidR="006A776A" w:rsidRDefault="004F4B77">
            <w:pPr>
              <w:pStyle w:val="TableParagraph"/>
              <w:spacing w:before="0"/>
              <w:ind w:left="911" w:firstLine="33"/>
              <w:jc w:val="left"/>
              <w:rPr>
                <w:sz w:val="20"/>
              </w:rPr>
            </w:pPr>
            <w:r>
              <w:rPr>
                <w:sz w:val="20"/>
              </w:rPr>
              <w:t>Ş</w:t>
            </w:r>
            <w:r>
              <w:rPr>
                <w:sz w:val="20"/>
              </w:rPr>
              <w:t>ə</w:t>
            </w:r>
            <w:r>
              <w:rPr>
                <w:sz w:val="20"/>
              </w:rPr>
              <w:t>h</w:t>
            </w:r>
            <w:r>
              <w:rPr>
                <w:sz w:val="20"/>
              </w:rPr>
              <w:t>ə</w:t>
            </w:r>
            <w:r>
              <w:rPr>
                <w:sz w:val="20"/>
              </w:rPr>
              <w:t>r</w:t>
            </w:r>
            <w:r>
              <w:rPr>
                <w:sz w:val="20"/>
              </w:rPr>
              <w:t>ə</w:t>
            </w:r>
            <w:r>
              <w:rPr>
                <w:sz w:val="20"/>
              </w:rPr>
              <w:t>trafı v</w:t>
            </w:r>
            <w:r>
              <w:rPr>
                <w:sz w:val="20"/>
              </w:rPr>
              <w:t>ə</w:t>
            </w:r>
            <w:r>
              <w:rPr>
                <w:sz w:val="20"/>
              </w:rPr>
              <w:t xml:space="preserve"> q</w:t>
            </w:r>
            <w:r>
              <w:rPr>
                <w:sz w:val="20"/>
              </w:rPr>
              <w:t>ə</w:t>
            </w:r>
            <w:r>
              <w:rPr>
                <w:sz w:val="20"/>
              </w:rPr>
              <w:t>s</w:t>
            </w:r>
            <w:r>
              <w:rPr>
                <w:sz w:val="20"/>
              </w:rPr>
              <w:t>ə</w:t>
            </w:r>
            <w:r>
              <w:rPr>
                <w:sz w:val="20"/>
              </w:rPr>
              <w:t>b</w:t>
            </w:r>
            <w:r>
              <w:rPr>
                <w:sz w:val="20"/>
              </w:rPr>
              <w:t>ə</w:t>
            </w:r>
            <w:r>
              <w:rPr>
                <w:sz w:val="20"/>
              </w:rPr>
              <w:t>l</w:t>
            </w:r>
            <w:r>
              <w:rPr>
                <w:sz w:val="20"/>
              </w:rPr>
              <w:t>ə</w:t>
            </w:r>
            <w:r>
              <w:rPr>
                <w:sz w:val="20"/>
              </w:rPr>
              <w:t>rarası</w:t>
            </w:r>
          </w:p>
        </w:tc>
        <w:tc>
          <w:tcPr>
            <w:tcW w:w="4504" w:type="dxa"/>
          </w:tcPr>
          <w:p w:rsidR="006A776A" w:rsidRDefault="004F4B77">
            <w:pPr>
              <w:pStyle w:val="TableParagraph"/>
              <w:jc w:val="left"/>
              <w:rPr>
                <w:sz w:val="20"/>
              </w:rPr>
            </w:pPr>
            <w:r>
              <w:rPr>
                <w:sz w:val="20"/>
              </w:rPr>
              <w:t>15 km-d</w:t>
            </w:r>
            <w:r>
              <w:rPr>
                <w:sz w:val="20"/>
              </w:rPr>
              <w:t>ə</w:t>
            </w:r>
            <w:r>
              <w:rPr>
                <w:sz w:val="20"/>
              </w:rPr>
              <w:t>k (15 km daxil olmaqla)</w:t>
            </w:r>
          </w:p>
        </w:tc>
        <w:tc>
          <w:tcPr>
            <w:tcW w:w="1172" w:type="dxa"/>
          </w:tcPr>
          <w:p w:rsidR="006A776A" w:rsidRDefault="004F4B77">
            <w:pPr>
              <w:pStyle w:val="TableParagraph"/>
              <w:ind w:left="208" w:right="210"/>
              <w:rPr>
                <w:sz w:val="20"/>
              </w:rPr>
            </w:pPr>
            <w:r>
              <w:rPr>
                <w:sz w:val="20"/>
              </w:rPr>
              <w:t>0,40</w:t>
            </w:r>
          </w:p>
        </w:tc>
      </w:tr>
      <w:tr w:rsidR="006A776A">
        <w:trPr>
          <w:trHeight w:val="350"/>
        </w:trPr>
        <w:tc>
          <w:tcPr>
            <w:tcW w:w="721" w:type="dxa"/>
            <w:vMerge/>
            <w:tcBorders>
              <w:top w:val="nil"/>
            </w:tcBorders>
          </w:tcPr>
          <w:p w:rsidR="006A776A" w:rsidRDefault="006A776A">
            <w:pPr>
              <w:rPr>
                <w:sz w:val="2"/>
                <w:szCs w:val="2"/>
              </w:rPr>
            </w:pPr>
          </w:p>
        </w:tc>
        <w:tc>
          <w:tcPr>
            <w:tcW w:w="3150" w:type="dxa"/>
            <w:vMerge/>
            <w:tcBorders>
              <w:top w:val="nil"/>
            </w:tcBorders>
          </w:tcPr>
          <w:p w:rsidR="006A776A" w:rsidRDefault="006A776A">
            <w:pPr>
              <w:rPr>
                <w:sz w:val="2"/>
                <w:szCs w:val="2"/>
              </w:rPr>
            </w:pPr>
          </w:p>
        </w:tc>
        <w:tc>
          <w:tcPr>
            <w:tcW w:w="4504" w:type="dxa"/>
          </w:tcPr>
          <w:p w:rsidR="006A776A" w:rsidRDefault="004F4B77">
            <w:pPr>
              <w:pStyle w:val="TableParagraph"/>
              <w:jc w:val="left"/>
              <w:rPr>
                <w:sz w:val="20"/>
              </w:rPr>
            </w:pPr>
            <w:r>
              <w:rPr>
                <w:sz w:val="20"/>
              </w:rPr>
              <w:t>15 km-d</w:t>
            </w:r>
            <w:r>
              <w:rPr>
                <w:sz w:val="20"/>
              </w:rPr>
              <w:t>ə</w:t>
            </w:r>
            <w:r>
              <w:rPr>
                <w:sz w:val="20"/>
              </w:rPr>
              <w:t>n 30 km-d</w:t>
            </w:r>
            <w:r>
              <w:rPr>
                <w:sz w:val="20"/>
              </w:rPr>
              <w:t>ə</w:t>
            </w:r>
            <w:r>
              <w:rPr>
                <w:sz w:val="20"/>
              </w:rPr>
              <w:t>k (30 km daxil olmaqla)</w:t>
            </w:r>
          </w:p>
        </w:tc>
        <w:tc>
          <w:tcPr>
            <w:tcW w:w="1172" w:type="dxa"/>
          </w:tcPr>
          <w:p w:rsidR="006A776A" w:rsidRDefault="004F4B77">
            <w:pPr>
              <w:pStyle w:val="TableParagraph"/>
              <w:ind w:left="208" w:right="210"/>
              <w:rPr>
                <w:sz w:val="20"/>
              </w:rPr>
            </w:pPr>
            <w:r>
              <w:rPr>
                <w:sz w:val="20"/>
              </w:rPr>
              <w:t>0,50</w:t>
            </w:r>
          </w:p>
        </w:tc>
      </w:tr>
      <w:tr w:rsidR="006A776A">
        <w:trPr>
          <w:trHeight w:val="350"/>
        </w:trPr>
        <w:tc>
          <w:tcPr>
            <w:tcW w:w="721" w:type="dxa"/>
            <w:vMerge/>
            <w:tcBorders>
              <w:top w:val="nil"/>
            </w:tcBorders>
          </w:tcPr>
          <w:p w:rsidR="006A776A" w:rsidRDefault="006A776A">
            <w:pPr>
              <w:rPr>
                <w:sz w:val="2"/>
                <w:szCs w:val="2"/>
              </w:rPr>
            </w:pPr>
          </w:p>
        </w:tc>
        <w:tc>
          <w:tcPr>
            <w:tcW w:w="3150" w:type="dxa"/>
            <w:vMerge/>
            <w:tcBorders>
              <w:top w:val="nil"/>
            </w:tcBorders>
          </w:tcPr>
          <w:p w:rsidR="006A776A" w:rsidRDefault="006A776A">
            <w:pPr>
              <w:rPr>
                <w:sz w:val="2"/>
                <w:szCs w:val="2"/>
              </w:rPr>
            </w:pPr>
          </w:p>
        </w:tc>
        <w:tc>
          <w:tcPr>
            <w:tcW w:w="4504" w:type="dxa"/>
          </w:tcPr>
          <w:p w:rsidR="006A776A" w:rsidRDefault="004F4B77">
            <w:pPr>
              <w:pStyle w:val="TableParagraph"/>
              <w:jc w:val="left"/>
              <w:rPr>
                <w:sz w:val="20"/>
              </w:rPr>
            </w:pPr>
            <w:r>
              <w:rPr>
                <w:sz w:val="20"/>
              </w:rPr>
              <w:t>30 km-d</w:t>
            </w:r>
            <w:r>
              <w:rPr>
                <w:sz w:val="20"/>
              </w:rPr>
              <w:t>ə</w:t>
            </w:r>
            <w:r>
              <w:rPr>
                <w:sz w:val="20"/>
              </w:rPr>
              <w:t>n 40 km-d</w:t>
            </w:r>
            <w:r>
              <w:rPr>
                <w:sz w:val="20"/>
              </w:rPr>
              <w:t>ə</w:t>
            </w:r>
            <w:r>
              <w:rPr>
                <w:sz w:val="20"/>
              </w:rPr>
              <w:t>k (40 km daxil olmaqla)</w:t>
            </w:r>
          </w:p>
        </w:tc>
        <w:tc>
          <w:tcPr>
            <w:tcW w:w="1172" w:type="dxa"/>
          </w:tcPr>
          <w:p w:rsidR="006A776A" w:rsidRDefault="004F4B77">
            <w:pPr>
              <w:pStyle w:val="TableParagraph"/>
              <w:ind w:left="208" w:right="210"/>
              <w:rPr>
                <w:sz w:val="20"/>
              </w:rPr>
            </w:pPr>
            <w:r>
              <w:rPr>
                <w:sz w:val="20"/>
              </w:rPr>
              <w:t>0,60</w:t>
            </w:r>
          </w:p>
        </w:tc>
      </w:tr>
      <w:tr w:rsidR="006A776A">
        <w:trPr>
          <w:trHeight w:val="350"/>
        </w:trPr>
        <w:tc>
          <w:tcPr>
            <w:tcW w:w="721" w:type="dxa"/>
            <w:vMerge/>
            <w:tcBorders>
              <w:top w:val="nil"/>
            </w:tcBorders>
          </w:tcPr>
          <w:p w:rsidR="006A776A" w:rsidRDefault="006A776A">
            <w:pPr>
              <w:rPr>
                <w:sz w:val="2"/>
                <w:szCs w:val="2"/>
              </w:rPr>
            </w:pPr>
          </w:p>
        </w:tc>
        <w:tc>
          <w:tcPr>
            <w:tcW w:w="3150" w:type="dxa"/>
            <w:vMerge/>
            <w:tcBorders>
              <w:top w:val="nil"/>
            </w:tcBorders>
          </w:tcPr>
          <w:p w:rsidR="006A776A" w:rsidRDefault="006A776A">
            <w:pPr>
              <w:rPr>
                <w:sz w:val="2"/>
                <w:szCs w:val="2"/>
              </w:rPr>
            </w:pPr>
          </w:p>
        </w:tc>
        <w:tc>
          <w:tcPr>
            <w:tcW w:w="4504" w:type="dxa"/>
          </w:tcPr>
          <w:p w:rsidR="006A776A" w:rsidRDefault="004F4B77">
            <w:pPr>
              <w:pStyle w:val="TableParagraph"/>
              <w:jc w:val="left"/>
              <w:rPr>
                <w:sz w:val="20"/>
              </w:rPr>
            </w:pPr>
            <w:r>
              <w:rPr>
                <w:sz w:val="20"/>
              </w:rPr>
              <w:t>40 km-d</w:t>
            </w:r>
            <w:r>
              <w:rPr>
                <w:sz w:val="20"/>
              </w:rPr>
              <w:t>ə</w:t>
            </w:r>
            <w:r>
              <w:rPr>
                <w:sz w:val="20"/>
              </w:rPr>
              <w:t>n 45 km-d</w:t>
            </w:r>
            <w:r>
              <w:rPr>
                <w:sz w:val="20"/>
              </w:rPr>
              <w:t>ə</w:t>
            </w:r>
            <w:r>
              <w:rPr>
                <w:sz w:val="20"/>
              </w:rPr>
              <w:t>k (45 km daxil olmaqla)</w:t>
            </w:r>
          </w:p>
        </w:tc>
        <w:tc>
          <w:tcPr>
            <w:tcW w:w="1172" w:type="dxa"/>
          </w:tcPr>
          <w:p w:rsidR="006A776A" w:rsidRDefault="004F4B77">
            <w:pPr>
              <w:pStyle w:val="TableParagraph"/>
              <w:ind w:left="208" w:right="210"/>
              <w:rPr>
                <w:sz w:val="20"/>
              </w:rPr>
            </w:pPr>
            <w:r>
              <w:rPr>
                <w:sz w:val="20"/>
              </w:rPr>
              <w:t>0,70</w:t>
            </w:r>
          </w:p>
        </w:tc>
      </w:tr>
      <w:tr w:rsidR="006A776A">
        <w:trPr>
          <w:trHeight w:val="350"/>
        </w:trPr>
        <w:tc>
          <w:tcPr>
            <w:tcW w:w="721" w:type="dxa"/>
            <w:vMerge/>
            <w:tcBorders>
              <w:top w:val="nil"/>
            </w:tcBorders>
          </w:tcPr>
          <w:p w:rsidR="006A776A" w:rsidRDefault="006A776A">
            <w:pPr>
              <w:rPr>
                <w:sz w:val="2"/>
                <w:szCs w:val="2"/>
              </w:rPr>
            </w:pPr>
          </w:p>
        </w:tc>
        <w:tc>
          <w:tcPr>
            <w:tcW w:w="3150" w:type="dxa"/>
            <w:vMerge/>
            <w:tcBorders>
              <w:top w:val="nil"/>
            </w:tcBorders>
          </w:tcPr>
          <w:p w:rsidR="006A776A" w:rsidRDefault="006A776A">
            <w:pPr>
              <w:rPr>
                <w:sz w:val="2"/>
                <w:szCs w:val="2"/>
              </w:rPr>
            </w:pPr>
          </w:p>
        </w:tc>
        <w:tc>
          <w:tcPr>
            <w:tcW w:w="4504" w:type="dxa"/>
          </w:tcPr>
          <w:p w:rsidR="006A776A" w:rsidRDefault="004F4B77">
            <w:pPr>
              <w:pStyle w:val="TableParagraph"/>
              <w:jc w:val="left"/>
              <w:rPr>
                <w:sz w:val="20"/>
              </w:rPr>
            </w:pPr>
            <w:r>
              <w:rPr>
                <w:sz w:val="20"/>
              </w:rPr>
              <w:t>45 km-d</w:t>
            </w:r>
            <w:r>
              <w:rPr>
                <w:sz w:val="20"/>
              </w:rPr>
              <w:t>ə</w:t>
            </w:r>
            <w:r>
              <w:rPr>
                <w:sz w:val="20"/>
              </w:rPr>
              <w:t>n 50 km-d</w:t>
            </w:r>
            <w:r>
              <w:rPr>
                <w:sz w:val="20"/>
              </w:rPr>
              <w:t>ə</w:t>
            </w:r>
            <w:r>
              <w:rPr>
                <w:sz w:val="20"/>
              </w:rPr>
              <w:t>k (50 km daxil olmaqla)</w:t>
            </w:r>
          </w:p>
        </w:tc>
        <w:tc>
          <w:tcPr>
            <w:tcW w:w="1172" w:type="dxa"/>
          </w:tcPr>
          <w:p w:rsidR="006A776A" w:rsidRDefault="004F4B77">
            <w:pPr>
              <w:pStyle w:val="TableParagraph"/>
              <w:ind w:left="208" w:right="210"/>
              <w:rPr>
                <w:sz w:val="20"/>
              </w:rPr>
            </w:pPr>
            <w:r>
              <w:rPr>
                <w:sz w:val="20"/>
              </w:rPr>
              <w:t>0,90</w:t>
            </w:r>
          </w:p>
        </w:tc>
      </w:tr>
      <w:tr w:rsidR="006A776A">
        <w:trPr>
          <w:trHeight w:val="350"/>
        </w:trPr>
        <w:tc>
          <w:tcPr>
            <w:tcW w:w="721" w:type="dxa"/>
            <w:vMerge/>
            <w:tcBorders>
              <w:top w:val="nil"/>
            </w:tcBorders>
          </w:tcPr>
          <w:p w:rsidR="006A776A" w:rsidRDefault="006A776A">
            <w:pPr>
              <w:rPr>
                <w:sz w:val="2"/>
                <w:szCs w:val="2"/>
              </w:rPr>
            </w:pPr>
          </w:p>
        </w:tc>
        <w:tc>
          <w:tcPr>
            <w:tcW w:w="3150" w:type="dxa"/>
            <w:vMerge/>
            <w:tcBorders>
              <w:top w:val="nil"/>
            </w:tcBorders>
          </w:tcPr>
          <w:p w:rsidR="006A776A" w:rsidRDefault="006A776A">
            <w:pPr>
              <w:rPr>
                <w:sz w:val="2"/>
                <w:szCs w:val="2"/>
              </w:rPr>
            </w:pPr>
          </w:p>
        </w:tc>
        <w:tc>
          <w:tcPr>
            <w:tcW w:w="4504" w:type="dxa"/>
          </w:tcPr>
          <w:p w:rsidR="006A776A" w:rsidRDefault="004F4B77">
            <w:pPr>
              <w:pStyle w:val="TableParagraph"/>
              <w:jc w:val="left"/>
              <w:rPr>
                <w:sz w:val="20"/>
              </w:rPr>
            </w:pPr>
            <w:r>
              <w:rPr>
                <w:sz w:val="20"/>
              </w:rPr>
              <w:t>50 km-d</w:t>
            </w:r>
            <w:r>
              <w:rPr>
                <w:sz w:val="20"/>
              </w:rPr>
              <w:t>ə</w:t>
            </w:r>
            <w:r>
              <w:rPr>
                <w:sz w:val="20"/>
              </w:rPr>
              <w:t>n yuxarı</w:t>
            </w:r>
          </w:p>
        </w:tc>
        <w:tc>
          <w:tcPr>
            <w:tcW w:w="1172" w:type="dxa"/>
          </w:tcPr>
          <w:p w:rsidR="006A776A" w:rsidRDefault="004F4B77">
            <w:pPr>
              <w:pStyle w:val="TableParagraph"/>
              <w:ind w:left="208" w:right="210"/>
              <w:rPr>
                <w:sz w:val="20"/>
              </w:rPr>
            </w:pPr>
            <w:r>
              <w:rPr>
                <w:sz w:val="20"/>
              </w:rPr>
              <w:t>1,00</w:t>
            </w:r>
          </w:p>
        </w:tc>
      </w:tr>
    </w:tbl>
    <w:p w:rsidR="006A776A" w:rsidRDefault="006A776A">
      <w:pPr>
        <w:pStyle w:val="a3"/>
        <w:spacing w:before="9"/>
        <w:rPr>
          <w:b/>
          <w:sz w:val="23"/>
        </w:rPr>
      </w:pPr>
    </w:p>
    <w:p w:rsidR="006A776A" w:rsidRDefault="004F4B77">
      <w:pPr>
        <w:pStyle w:val="a3"/>
        <w:spacing w:before="95" w:line="314" w:lineRule="auto"/>
        <w:ind w:left="125" w:right="121"/>
        <w:jc w:val="both"/>
      </w:pPr>
      <w:r>
        <w:rPr>
          <w:b/>
        </w:rPr>
        <w:t xml:space="preserve">Qeyd: </w:t>
      </w:r>
      <w:r>
        <w:t>Münt</w:t>
      </w:r>
      <w:r>
        <w:t>ə</w:t>
      </w:r>
      <w:r>
        <w:t>z</w:t>
      </w:r>
      <w:r>
        <w:t>ə</w:t>
      </w:r>
      <w:r>
        <w:t>m ş</w:t>
      </w:r>
      <w:r>
        <w:t>ə</w:t>
      </w:r>
      <w:r>
        <w:t>h</w:t>
      </w:r>
      <w:r>
        <w:t>ə</w:t>
      </w:r>
      <w:r>
        <w:t>r</w:t>
      </w:r>
      <w:r>
        <w:t>ə</w:t>
      </w:r>
      <w:r>
        <w:t>trafı v</w:t>
      </w:r>
      <w:r>
        <w:t>ə</w:t>
      </w:r>
      <w:r>
        <w:t xml:space="preserve"> q</w:t>
      </w:r>
      <w:r>
        <w:t>ə</w:t>
      </w:r>
      <w:r>
        <w:t>s</w:t>
      </w:r>
      <w:r>
        <w:t>ə</w:t>
      </w:r>
      <w:r>
        <w:t>b</w:t>
      </w:r>
      <w:r>
        <w:t>ə</w:t>
      </w:r>
      <w:r>
        <w:t>l</w:t>
      </w:r>
      <w:r>
        <w:t>ə</w:t>
      </w:r>
      <w:r>
        <w:t>rarası avtobus marşrutlarında ş</w:t>
      </w:r>
      <w:r>
        <w:t>ə</w:t>
      </w:r>
      <w:r>
        <w:t>h</w:t>
      </w:r>
      <w:r>
        <w:t>ə</w:t>
      </w:r>
      <w:r>
        <w:t>rdaxili v</w:t>
      </w:r>
      <w:r>
        <w:t>ə</w:t>
      </w:r>
      <w:r>
        <w:t xml:space="preserve"> ya q</w:t>
      </w:r>
      <w:r>
        <w:t>ə</w:t>
      </w:r>
      <w:r>
        <w:t>s</w:t>
      </w:r>
      <w:r>
        <w:t>ə</w:t>
      </w:r>
      <w:r>
        <w:t>b</w:t>
      </w:r>
      <w:r>
        <w:t>ə</w:t>
      </w:r>
      <w:r>
        <w:t>daxili h</w:t>
      </w:r>
      <w:r>
        <w:t>ə</w:t>
      </w:r>
      <w:r>
        <w:t>r</w:t>
      </w:r>
      <w:r>
        <w:t>ə</w:t>
      </w:r>
      <w:r>
        <w:t>k</w:t>
      </w:r>
      <w:r>
        <w:t>ə</w:t>
      </w:r>
      <w:r>
        <w:t>t ed</w:t>
      </w:r>
      <w:r>
        <w:t>ə</w:t>
      </w:r>
      <w:r>
        <w:t>n s</w:t>
      </w:r>
      <w:r>
        <w:t>ə</w:t>
      </w:r>
      <w:r>
        <w:t>rnişinl</w:t>
      </w:r>
      <w:r>
        <w:t>ə</w:t>
      </w:r>
      <w:r>
        <w:t>r üçün bir gediş üzr</w:t>
      </w:r>
      <w:r>
        <w:t>ə</w:t>
      </w:r>
      <w:r>
        <w:t xml:space="preserve"> tarifin yuxarı h</w:t>
      </w:r>
      <w:r>
        <w:t>ə</w:t>
      </w:r>
      <w:r>
        <w:t>ddi 40 q</w:t>
      </w:r>
      <w:r>
        <w:t>ə</w:t>
      </w:r>
      <w:r>
        <w:t>pik, h</w:t>
      </w:r>
      <w:r>
        <w:t>ə</w:t>
      </w:r>
      <w:r>
        <w:t>min marşrutlarda yaşayış m</w:t>
      </w:r>
      <w:r>
        <w:t>ə</w:t>
      </w:r>
      <w:r>
        <w:t>nt</w:t>
      </w:r>
      <w:r>
        <w:t>ə</w:t>
      </w:r>
      <w:r>
        <w:t>q</w:t>
      </w:r>
      <w:r>
        <w:t>ə</w:t>
      </w:r>
      <w:r>
        <w:t>l</w:t>
      </w:r>
      <w:r>
        <w:t>ə</w:t>
      </w:r>
      <w:r>
        <w:t>ri arası h</w:t>
      </w:r>
      <w:r>
        <w:t>ə</w:t>
      </w:r>
      <w:r>
        <w:t>r</w:t>
      </w:r>
      <w:r>
        <w:t>ə</w:t>
      </w:r>
      <w:r>
        <w:t>k</w:t>
      </w:r>
      <w:r>
        <w:t>ə</w:t>
      </w:r>
      <w:r>
        <w:t>t üçün tarifin yuxarı h</w:t>
      </w:r>
      <w:r>
        <w:t>ə</w:t>
      </w:r>
      <w:r>
        <w:t>ddi mü</w:t>
      </w:r>
      <w:r>
        <w:t>ə</w:t>
      </w:r>
      <w:r>
        <w:t>yy</w:t>
      </w:r>
      <w:r>
        <w:t>ə</w:t>
      </w:r>
      <w:r>
        <w:t xml:space="preserve">n </w:t>
      </w:r>
      <w:r>
        <w:t>edilmiş m</w:t>
      </w:r>
      <w:r>
        <w:t>ə</w:t>
      </w:r>
      <w:r>
        <w:t>saf</w:t>
      </w:r>
      <w:r>
        <w:t>ə</w:t>
      </w:r>
      <w:r>
        <w:t>l</w:t>
      </w:r>
      <w:r>
        <w:t>ə</w:t>
      </w:r>
      <w:r>
        <w:t>rd</w:t>
      </w:r>
      <w:r>
        <w:t>ə</w:t>
      </w:r>
      <w:r>
        <w:t>n asılı olaraq t</w:t>
      </w:r>
      <w:r>
        <w:t>ə</w:t>
      </w:r>
      <w:r>
        <w:t>tbiq edilir.</w:t>
      </w:r>
    </w:p>
    <w:sectPr w:rsidR="006A776A">
      <w:type w:val="continuous"/>
      <w:pgSz w:w="11910" w:h="16840"/>
      <w:pgMar w:top="1160" w:right="9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6A"/>
    <w:rsid w:val="004F4B77"/>
    <w:rsid w:val="006A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ind w:left="1071" w:right="702" w:hanging="87"/>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pPr>
      <w:spacing w:before="62"/>
      <w:ind w:left="119"/>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ind w:left="1071" w:right="702" w:hanging="87"/>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pPr>
      <w:spacing w:before="62"/>
      <w:ind w:left="11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Vuqar</cp:lastModifiedBy>
  <cp:revision>2</cp:revision>
  <dcterms:created xsi:type="dcterms:W3CDTF">2023-02-01T07:00:00Z</dcterms:created>
  <dcterms:modified xsi:type="dcterms:W3CDTF">2023-02-01T07:00:00Z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2016</vt:lpwstr>
  </property>
  <property fmtid="{D5CDD505-2E9C-101B-9397-08002B2CF9AE}" pid="4" name="LastSaved">
    <vt:filetime>2023-02-01T00:00:00Z</vt:filetime>
  </property>
</Properties>
</file>